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28BEA" w14:textId="77777777" w:rsidR="00BB7CC1" w:rsidRDefault="00693AC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b/>
          <w:bCs/>
          <w:sz w:val="21"/>
          <w:szCs w:val="21"/>
        </w:rPr>
      </w:pPr>
      <w:r>
        <w:rPr>
          <w:b/>
          <w:sz w:val="21"/>
        </w:rPr>
        <w:t>ANNEX I. QÜESTIONARI PER AL TUTOR O TUTORA</w:t>
      </w:r>
    </w:p>
    <w:p w14:paraId="309E53AB" w14:textId="77777777" w:rsidR="00BB7CC1" w:rsidRDefault="00BB7CC1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  <w:lang w:val="es-ES"/>
        </w:rPr>
      </w:pPr>
    </w:p>
    <w:p w14:paraId="44FCA1C9" w14:textId="77777777" w:rsidR="00BB7CC1" w:rsidRDefault="00693ACD">
      <w:pPr>
        <w:pStyle w:val="Textoindependiente"/>
        <w:ind w:left="-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En el procés d’avaluació de la funció docent és necessari la col·laboració del tutor o tutora corresponent; per això ha d’omplir el següent qüestionari.</w:t>
      </w:r>
    </w:p>
    <w:p w14:paraId="2AD76D9E" w14:textId="77777777" w:rsidR="00BB7CC1" w:rsidRDefault="00693AC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En el context d’este procediment selectiu i en funció de la seua responsabilitat en el centre, esperem que la seua participació responga als principis d’objectivitat, imparcialitat i confidencialitat que en tot moment han d’inspirar les actuacions del funcionariat.</w:t>
      </w:r>
    </w:p>
    <w:p w14:paraId="259518D2" w14:textId="77777777" w:rsidR="00BB7CC1" w:rsidRDefault="00693AC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La informació recollida en este qüestionari correspon a les seues </w:t>
      </w:r>
      <w:bookmarkStart w:id="0" w:name="_Hlk172891650"/>
      <w:r>
        <w:rPr>
          <w:rFonts w:ascii="Calibri" w:hAnsi="Calibri"/>
          <w:sz w:val="22"/>
        </w:rPr>
        <w:t xml:space="preserve">observacions i valoracions, </w:t>
      </w:r>
      <w:bookmarkEnd w:id="0"/>
      <w:r>
        <w:rPr>
          <w:rFonts w:ascii="Calibri" w:hAnsi="Calibri"/>
          <w:sz w:val="22"/>
        </w:rPr>
        <w:t>i se’n garantix la confidencialitat. Tindrà accés a esta informació la inspectora o l’inspector responsables de l’avaluació, que la tindrà en compte juntament amb altres observacions directes i indirectes i l’anàlisi de la documentació que corresponga.</w:t>
      </w:r>
    </w:p>
    <w:p w14:paraId="63E602A2" w14:textId="77777777" w:rsidR="00BB7CC1" w:rsidRDefault="00BB7CC1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</w:p>
    <w:tbl>
      <w:tblPr>
        <w:tblW w:w="10065" w:type="dxa"/>
        <w:tblInd w:w="-1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84"/>
        <w:gridCol w:w="1417"/>
        <w:gridCol w:w="5964"/>
      </w:tblGrid>
      <w:tr w:rsidR="00BB7CC1" w14:paraId="3B0A80B8" w14:textId="77777777">
        <w:tc>
          <w:tcPr>
            <w:tcW w:w="10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FFF299" w14:textId="77777777" w:rsidR="00BB7CC1" w:rsidRDefault="00693ACD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cs="Calibri"/>
              </w:rPr>
            </w:pPr>
            <w:r>
              <w:rPr>
                <w:b/>
                <w:color w:val="000000"/>
                <w:sz w:val="21"/>
              </w:rPr>
              <w:t>Dades de l’aspirant</w:t>
            </w:r>
          </w:p>
        </w:tc>
      </w:tr>
      <w:tr w:rsidR="00BB7CC1" w14:paraId="443F6EE9" w14:textId="77777777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F8E1F8" w14:textId="77777777" w:rsidR="00BB7CC1" w:rsidRDefault="00693ACD">
            <w:pPr>
              <w:pStyle w:val="Textoindependiente22"/>
              <w:widowControl w:val="0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Nom: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1B9BE" w14:textId="77777777" w:rsidR="00BB7CC1" w:rsidRDefault="00BB7CC1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B7CC1" w14:paraId="5A723765" w14:textId="77777777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8EC606" w14:textId="77777777" w:rsidR="00BB7CC1" w:rsidRDefault="00693ACD">
            <w:pPr>
              <w:pStyle w:val="Textoindependiente22"/>
              <w:widowControl w:val="0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Cognoms: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4FA4CE" w14:textId="77777777" w:rsidR="00BB7CC1" w:rsidRDefault="00BB7CC1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B7CC1" w14:paraId="0C3DE966" w14:textId="77777777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C3FF3F" w14:textId="77777777" w:rsidR="00BB7CC1" w:rsidRDefault="00693ACD">
            <w:pPr>
              <w:pStyle w:val="Textoindependiente22"/>
              <w:widowControl w:val="0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DNI: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2400C1" w14:textId="77777777" w:rsidR="00BB7CC1" w:rsidRDefault="00BB7CC1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B7CC1" w14:paraId="0624E947" w14:textId="77777777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2F9624" w14:textId="77777777" w:rsidR="00BB7CC1" w:rsidRDefault="00693ACD">
            <w:pPr>
              <w:pStyle w:val="Textoindependiente22"/>
              <w:widowControl w:val="0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Especialitat avaluada: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FC3BC" w14:textId="77777777" w:rsidR="00BB7CC1" w:rsidRDefault="00BB7CC1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B7CC1" w14:paraId="290E370D" w14:textId="77777777">
        <w:tc>
          <w:tcPr>
            <w:tcW w:w="268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16046F" w14:textId="77777777" w:rsidR="00BB7CC1" w:rsidRDefault="00693ACD">
            <w:pPr>
              <w:pStyle w:val="Textoindependiente22"/>
              <w:widowControl w:val="0"/>
              <w:ind w:left="-3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Centre de destinació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B506A4" w14:textId="77777777" w:rsidR="00BB7CC1" w:rsidRDefault="00693ACD">
            <w:pPr>
              <w:pStyle w:val="Textoindependiente22"/>
              <w:widowControl w:val="0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Codi:</w:t>
            </w:r>
          </w:p>
        </w:tc>
        <w:tc>
          <w:tcPr>
            <w:tcW w:w="5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CA622" w14:textId="77777777" w:rsidR="00BB7CC1" w:rsidRDefault="00BB7CC1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BB7CC1" w14:paraId="6EC3CAAF" w14:textId="77777777">
        <w:tc>
          <w:tcPr>
            <w:tcW w:w="268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62B941" w14:textId="77777777" w:rsidR="00BB7CC1" w:rsidRDefault="00BB7CC1">
            <w:pPr>
              <w:snapToGrid w:val="0"/>
              <w:ind w:left="-30"/>
              <w:rPr>
                <w:rFonts w:cs="Calibri"/>
                <w:sz w:val="21"/>
                <w:szCs w:val="21"/>
                <w:lang w:val="es-ES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9A9AF" w14:textId="77777777" w:rsidR="00BB7CC1" w:rsidRDefault="00693ACD">
            <w:pPr>
              <w:pStyle w:val="Textoindependiente22"/>
              <w:widowControl w:val="0"/>
              <w:ind w:left="-30"/>
              <w:rPr>
                <w:rFonts w:ascii="Calibri" w:hAnsi="Calibri" w:cs="Calibri"/>
              </w:rPr>
            </w:pPr>
            <w:r>
              <w:rPr>
                <w:rFonts w:ascii="Calibri" w:hAnsi="Calibri"/>
                <w:b w:val="0"/>
                <w:sz w:val="21"/>
              </w:rPr>
              <w:t>Denominació:</w:t>
            </w:r>
          </w:p>
        </w:tc>
        <w:tc>
          <w:tcPr>
            <w:tcW w:w="5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9F8BD1" w14:textId="77777777" w:rsidR="00BB7CC1" w:rsidRDefault="00BB7CC1">
            <w:pPr>
              <w:pStyle w:val="Textoindependiente22"/>
              <w:widowControl w:val="0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</w:tbl>
    <w:p w14:paraId="68437BC8" w14:textId="77777777" w:rsidR="00BB7CC1" w:rsidRDefault="00BB7CC1">
      <w:pPr>
        <w:rPr>
          <w:rFonts w:cs="Calibri"/>
          <w:sz w:val="21"/>
          <w:szCs w:val="21"/>
          <w:lang w:val="es-ES"/>
        </w:rPr>
      </w:pPr>
    </w:p>
    <w:p w14:paraId="7FF08A2F" w14:textId="77777777" w:rsidR="00BB7CC1" w:rsidRDefault="00BB7CC1">
      <w:pPr>
        <w:rPr>
          <w:rFonts w:cs="Calibri"/>
          <w:sz w:val="21"/>
          <w:szCs w:val="21"/>
          <w:lang w:val="es-ES"/>
        </w:rPr>
      </w:pPr>
    </w:p>
    <w:tbl>
      <w:tblPr>
        <w:tblW w:w="10065" w:type="dxa"/>
        <w:tblInd w:w="-1139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8219"/>
      </w:tblGrid>
      <w:tr w:rsidR="00BB7CC1" w14:paraId="69EDF80E" w14:textId="77777777"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49F227CE" w14:textId="77777777" w:rsidR="00BB7CC1" w:rsidRDefault="00693ACD">
            <w:pPr>
              <w:pStyle w:val="Contingutdelataula"/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  <w:sz w:val="21"/>
              </w:rPr>
              <w:t>ESCALA DE VALORACIÓ</w:t>
            </w:r>
          </w:p>
        </w:tc>
      </w:tr>
      <w:tr w:rsidR="00BB7CC1" w14:paraId="065E0D23" w14:textId="77777777">
        <w:tc>
          <w:tcPr>
            <w:tcW w:w="1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69521257" w14:textId="77777777" w:rsidR="00BB7CC1" w:rsidRDefault="00693ACD">
            <w:pPr>
              <w:pStyle w:val="Contingutdelataula"/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No apte</w:t>
            </w:r>
          </w:p>
        </w:tc>
        <w:tc>
          <w:tcPr>
            <w:tcW w:w="8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C968AF8" w14:textId="77777777" w:rsidR="00BB7CC1" w:rsidRDefault="00693ACD">
            <w:pPr>
              <w:pStyle w:val="Textoindependiente"/>
              <w:widowControl w:val="0"/>
              <w:spacing w:after="0" w:line="276" w:lineRule="auto"/>
              <w:ind w:right="71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Coneixement i/o posada en pràctica insuficient de les competències professionals docents analitzades. </w:t>
            </w:r>
            <w:r>
              <w:rPr>
                <w:rStyle w:val="Fuentedeprrafopredeter1"/>
                <w:rFonts w:ascii="Calibri" w:hAnsi="Calibri"/>
                <w:sz w:val="20"/>
              </w:rPr>
              <w:t xml:space="preserve">El domini i l’acompliment en el desenrotllament de les seues tasques és </w:t>
            </w:r>
            <w:r>
              <w:rPr>
                <w:rFonts w:ascii="Calibri" w:hAnsi="Calibri"/>
                <w:sz w:val="20"/>
              </w:rPr>
              <w:t xml:space="preserve">insuficient. S’obvien elements fonamentals de la competència professional avaluada. No s’aconseguixen els mínims acceptables. No s’adequa al que s’establix en els acompliments docents. </w:t>
            </w:r>
          </w:p>
        </w:tc>
      </w:tr>
      <w:tr w:rsidR="00BB7CC1" w14:paraId="37F7FE27" w14:textId="77777777">
        <w:trPr>
          <w:trHeight w:val="68"/>
        </w:trPr>
        <w:tc>
          <w:tcPr>
            <w:tcW w:w="1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612A9E4D" w14:textId="77777777" w:rsidR="00BB7CC1" w:rsidRDefault="00693ACD">
            <w:pPr>
              <w:pStyle w:val="Contingutdelataula"/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1"/>
              </w:rPr>
              <w:t>Apte</w:t>
            </w:r>
          </w:p>
        </w:tc>
        <w:tc>
          <w:tcPr>
            <w:tcW w:w="8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B07DEB8" w14:textId="77777777" w:rsidR="00BB7CC1" w:rsidRDefault="00693ACD">
            <w:pPr>
              <w:pStyle w:val="Textoindependiente"/>
              <w:widowControl w:val="0"/>
              <w:ind w:right="71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Fuentedeprrafopredeter1"/>
                <w:rFonts w:ascii="Calibri" w:hAnsi="Calibri"/>
                <w:sz w:val="20"/>
              </w:rPr>
              <w:t xml:space="preserve">Es pot observar un coneixement adequat/destacable i una integració de les </w:t>
            </w:r>
            <w:r>
              <w:rPr>
                <w:rFonts w:ascii="Calibri" w:hAnsi="Calibri"/>
                <w:sz w:val="20"/>
              </w:rPr>
              <w:t xml:space="preserve">competències professionals docents </w:t>
            </w:r>
            <w:r>
              <w:rPr>
                <w:rStyle w:val="Fuentedeprrafopredeter1"/>
                <w:rFonts w:ascii="Calibri" w:hAnsi="Calibri"/>
                <w:sz w:val="20"/>
              </w:rPr>
              <w:t>analitzades. El domini i l’acompliment en el desenrotllament de les seues tasques és molt destacable. L’adequació al que s’establix en l’acompliment docent és satisfactòria, encara que es detecten possibilitats de millora. A més, mostra lideratge i predisposició a l’autocrítica i la millora contínua.</w:t>
            </w:r>
          </w:p>
        </w:tc>
      </w:tr>
    </w:tbl>
    <w:p w14:paraId="3FDDF8AF" w14:textId="77777777" w:rsidR="00BB7CC1" w:rsidRDefault="00BB7CC1">
      <w:pPr>
        <w:rPr>
          <w:rFonts w:cs="Calibri"/>
          <w:sz w:val="21"/>
          <w:szCs w:val="21"/>
          <w:lang w:val="es-ES"/>
        </w:rPr>
      </w:pPr>
    </w:p>
    <w:p w14:paraId="419A153C" w14:textId="77777777" w:rsidR="00BB7CC1" w:rsidRDefault="00693ACD">
      <w:pPr>
        <w:rPr>
          <w:rFonts w:cs="Calibri"/>
          <w:sz w:val="21"/>
          <w:szCs w:val="21"/>
        </w:rPr>
      </w:pPr>
      <w:r>
        <w:br w:type="page"/>
      </w:r>
    </w:p>
    <w:p w14:paraId="4F2D7976" w14:textId="77777777" w:rsidR="00BB7CC1" w:rsidRDefault="00BB7CC1">
      <w:pPr>
        <w:rPr>
          <w:rFonts w:cs="Calibri"/>
          <w:sz w:val="21"/>
          <w:szCs w:val="21"/>
          <w:lang w:val="es-ES"/>
        </w:rPr>
      </w:pPr>
    </w:p>
    <w:p w14:paraId="1E997577" w14:textId="77777777" w:rsidR="00BB7CC1" w:rsidRDefault="00BB7CC1">
      <w:pPr>
        <w:rPr>
          <w:rFonts w:cs="Calibri"/>
          <w:sz w:val="21"/>
          <w:szCs w:val="21"/>
          <w:lang w:val="es-ES"/>
        </w:rPr>
      </w:pPr>
    </w:p>
    <w:tbl>
      <w:tblPr>
        <w:tblW w:w="1006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8"/>
        <w:gridCol w:w="7808"/>
        <w:gridCol w:w="841"/>
        <w:gridCol w:w="718"/>
      </w:tblGrid>
      <w:tr w:rsidR="00BB7CC1" w14:paraId="1EF06104" w14:textId="77777777">
        <w:trPr>
          <w:jc w:val="center"/>
        </w:trPr>
        <w:tc>
          <w:tcPr>
            <w:tcW w:w="100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C28A8" w14:textId="77777777" w:rsidR="00BB7CC1" w:rsidRDefault="00693ACD">
            <w:pPr>
              <w:pStyle w:val="Contenidodelatabla"/>
              <w:widowControl w:val="0"/>
              <w:ind w:right="9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  <w:sz w:val="21"/>
              </w:rPr>
              <w:t>ÀREA I. ENSENYAMENT I APRENENTATGE</w:t>
            </w:r>
          </w:p>
        </w:tc>
      </w:tr>
      <w:tr w:rsidR="00BB7CC1" w14:paraId="0D3B4644" w14:textId="77777777">
        <w:trPr>
          <w:jc w:val="center"/>
        </w:trPr>
        <w:tc>
          <w:tcPr>
            <w:tcW w:w="100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C6A1D6" w14:textId="77777777" w:rsidR="00BB7CC1" w:rsidRDefault="00BB7CC1">
            <w:pPr>
              <w:pStyle w:val="Contenidodelatabla"/>
              <w:widowControl w:val="0"/>
              <w:ind w:right="90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</w:p>
        </w:tc>
      </w:tr>
      <w:tr w:rsidR="00BB7CC1" w14:paraId="3BE138F0" w14:textId="77777777">
        <w:trPr>
          <w:jc w:val="center"/>
        </w:trPr>
        <w:tc>
          <w:tcPr>
            <w:tcW w:w="1006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6036908" w14:textId="77777777" w:rsidR="00BB7CC1" w:rsidRDefault="00693AC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 xml:space="preserve">1.1. Programació del procés d’ensenyament-aprenentatge </w:t>
            </w:r>
          </w:p>
        </w:tc>
      </w:tr>
      <w:tr w:rsidR="00BB7CC1" w14:paraId="19E2880F" w14:textId="77777777">
        <w:trPr>
          <w:jc w:val="center"/>
        </w:trPr>
        <w:tc>
          <w:tcPr>
            <w:tcW w:w="85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A5231A5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E475457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17B7FCC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BB7CC1" w14:paraId="0C7EB495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8A5DD9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1.1.a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3F22BA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Planifica les situacions d’aprenentatge d’acord amb la programació corresponent, els criteris del cicle o departament, els objectius de l’etapa i la normativa curricular.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240BB1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E16224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071498F1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E25FC3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1.1.b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80BF6A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Adequa i planifica els sabers bàsics, les competències específiques i els criteris d’avaluació de les diferents àrees, matèries, mòduls o assignatures, d’acord amb el nivell corresponent, per a la consecució de les competències clau.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3C1DD9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1ED97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68D1B43E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3C1C49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1.1.c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15E1FA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Planifica temporalment les activitats d’ensenyament-aprenentatge que contribuïxen a la consecució dels objectius generals de l’etapa.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8B1C46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864D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74002B45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FC9F71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1.1.d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7D81A0" w14:textId="77777777" w:rsidR="00BB7CC1" w:rsidRDefault="00693AC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Mostra amb claredat les opcions metodològiques i les fonamenta.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E2AD3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1C0BDE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2F2DC4EB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88FE49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1.1.e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90190D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Prepara la classe i els materials didàctics de manera clara i coherent (s’observa un guió, esquema, quadern en què especifica els objectius, activitats, materials, etc.).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1DDC1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914C6D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4786CED5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E8449D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1.1.f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9CFB53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Preveu i planifica la programació d’aula o unitats de treball de manera multinivell, tenint en compte els principis del Disseny Universal d’Aprenentatge i la diversitat del grup-classe, oferint una resposta diferenciada i/o mesures curriculars extraordinàries (ACIS, ampliació o enriquiment), d’acord amb la normativa d’inclusió.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627325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E8440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00288929" w14:textId="77777777">
        <w:trPr>
          <w:jc w:val="center"/>
        </w:trPr>
        <w:tc>
          <w:tcPr>
            <w:tcW w:w="1006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9B998D3" w14:textId="77777777" w:rsidR="00BB7CC1" w:rsidRDefault="00693AC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 xml:space="preserve">1.2. Pràctica i gestió del procés d’ensenyament- aprenentatge i, si és el cas, de la funció orientadora </w:t>
            </w:r>
          </w:p>
        </w:tc>
      </w:tr>
      <w:tr w:rsidR="00BB7CC1" w14:paraId="299D5217" w14:textId="77777777">
        <w:trPr>
          <w:jc w:val="center"/>
        </w:trPr>
        <w:tc>
          <w:tcPr>
            <w:tcW w:w="85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E228758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DAEFD34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D34B1FF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BB7CC1" w14:paraId="7AE55D2B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62F6A7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1.2.a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9D2448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Anticipa a l’alumnat, a l’inici de les classes, el treball que es portarà a terme i la dinàmica que se seguirà en la classe.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85C029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9D536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4128E725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3431AF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1.2.b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62D22E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Planteja activitats que motiven l’interés de l’alumnat cap a l’aprenentatge.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25ECC1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86ADF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087AC981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385320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1.2.c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D9E6E9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Gestiona de manera eficaç el temps i l’estructura adequada de les sessions.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7C7541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AAF4B7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320661A4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91161A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1.2.d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09E525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Para atenció al desenrotllament de la competència lectora de l’alumnat.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A8A663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041E2C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26787417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DC9A62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1.2.e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1B7838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Contribuïx a connectar les experiències de l’aprenentatge dins i fora de l’aula.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DFD549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61C4D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5E6F8F13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0A6015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1.2.f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14FBA5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Finalitza la classe amb una recopilació o resum dels aspectes més importants treballats.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069FB7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2A00DA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393B0990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D0AA9C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1.2.g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2E1349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Empra formes diverses d’agrupament a l’aula per al desenrotllament de les activitats: treball individual, en equip, en grup, etc.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A6D806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A2571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2B056A6E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EAA4EB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1.2.h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C58969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Crea un ambient que facilita el procés d’ensenyament-aprenentatge: l’alumnat amb dificultats està col·locat estratègicament per a afavorir el seu aprenentatge, els diversos espais de l’aula s’utilitzen didàcticament (parets, taulers), etc.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356A45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AACD7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24E23465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9D0CBE4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lastRenderedPageBreak/>
              <w:t>1.2.i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A2A99B5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Realitza les avaluacions </w:t>
            </w:r>
            <w:proofErr w:type="spellStart"/>
            <w:r>
              <w:rPr>
                <w:rFonts w:ascii="Calibri" w:hAnsi="Calibri"/>
                <w:sz w:val="21"/>
              </w:rPr>
              <w:t>sociopsicopedagògiques</w:t>
            </w:r>
            <w:proofErr w:type="spellEnd"/>
            <w:r>
              <w:rPr>
                <w:rFonts w:ascii="Calibri" w:hAnsi="Calibri"/>
                <w:sz w:val="21"/>
              </w:rPr>
              <w:t xml:space="preserve"> per a atendre les necessitats de l’alumnat.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F579137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D6ACA5E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78446C2E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500BBAB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1.2.j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82C52B5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Col·labora amb l’equip directiu en la planificació i l’organització de la resposta educativa per a la inclusió de l’alumnat.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76DBD73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0809BA80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5326C77A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3F71CF0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1.2.k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A1E29AE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Assessora el professorat en la detecció de barreres d’accés, participació i aprenentatge de l’alumnat, la identificació de les necessitats educatives i la posada en marxa de mesures preventives.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231FA37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258C913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52CE317F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1BF6A9D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1.2.l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769D3F6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Assessora i col·labora amb el professorat del centre en la implantació, seguiment i avaluació de les mesures d’inclusió educativa.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1F576C9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30DABE95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69D0718E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B4DA708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1.2.m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D0DCC33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Orienta el professorat i els equips docents en l’elaboració, el seguiment i l’avaluació de les adaptacions curriculars de l’alumnat.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55FA8C1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1D9C111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1F414AA9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CA14041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1.2.n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12AFE7D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Participa i assessora els tutors i equips docents en les sessions d’avaluació de l’alumnat amb necessitats específiques de suport educatiu.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971EB6E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2261DBFD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38F656DC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6D9EF64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1.2.o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1C1996F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Col·labora, des de les seues responsabilitats específiques, en els processos d’incorporació, seguiment i avaluació de l’alumnat en els diversos programes establits per a respondre a les necessitats educatives dels alumnes i les alumnes.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B280373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5919419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0850EF14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D6F0C50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1.2.p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8384377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Col·labora i assessora l’equip directiu i l’equip de tutors en l’elaboració, aplicació i avaluació de l’acció </w:t>
            </w:r>
            <w:proofErr w:type="spellStart"/>
            <w:r>
              <w:rPr>
                <w:rFonts w:ascii="Calibri" w:hAnsi="Calibri"/>
                <w:sz w:val="21"/>
              </w:rPr>
              <w:t>tutorial</w:t>
            </w:r>
            <w:proofErr w:type="spellEnd"/>
            <w:r>
              <w:rPr>
                <w:rFonts w:ascii="Calibri" w:hAnsi="Calibri"/>
                <w:sz w:val="21"/>
              </w:rPr>
              <w:t xml:space="preserve">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180DD02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7AB7914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4F446E34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3F07AA7" w14:textId="77777777" w:rsidR="00BB7CC1" w:rsidRDefault="00693ACD">
            <w:pPr>
              <w:pStyle w:val="Contenidodelatabla"/>
              <w:widowControl w:val="0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1.2.q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B9E2ED6" w14:textId="77777777" w:rsidR="00BB7CC1" w:rsidRDefault="00693ACD">
            <w:pPr>
              <w:pStyle w:val="Contenidodelatabla"/>
              <w:widowControl w:val="0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 xml:space="preserve">Assessora i participa en el desenrotllament de les actuacions d’orientació acadèmica i professional. </w:t>
            </w:r>
            <w:r>
              <w:rPr>
                <w:rFonts w:ascii="Calibri" w:hAnsi="Calibri"/>
                <w:i/>
                <w:sz w:val="21"/>
              </w:rPr>
              <w:t>(exclusiu per a l’especialitat d’orientació educativa)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E779D3C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2DD7EA4E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56B160F1" w14:textId="77777777">
        <w:trPr>
          <w:jc w:val="center"/>
        </w:trPr>
        <w:tc>
          <w:tcPr>
            <w:tcW w:w="1006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F449FC1" w14:textId="7079A3C8" w:rsidR="00BB7CC1" w:rsidRDefault="00693AC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1.3. Avaluació del procés d’ensenyament-aprenentatge</w:t>
            </w:r>
          </w:p>
        </w:tc>
      </w:tr>
      <w:tr w:rsidR="00BB7CC1" w14:paraId="7A60EABA" w14:textId="77777777">
        <w:trPr>
          <w:jc w:val="center"/>
        </w:trPr>
        <w:tc>
          <w:tcPr>
            <w:tcW w:w="85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DE0CF5F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48056D6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A903C2A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BB7CC1" w14:paraId="79C60831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19C8BE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1.3.a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3725DF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Realitza una avaluació inicial de l’alumnat i establix mesures de resposta adequades en funció dels resultats. 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B4B7CD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BFA81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7F118EB1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353E21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1.3.b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9D5B6B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Establix de manera clara, precisa i coherent els criteris d’avaluació i qualificació de l’alumnat.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C8F322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44254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5C796814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9C1801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1.3.c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51DA60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Utilitza instruments i tècniques d’avaluació diferents i variades que permeten la valoració de les diverses competències de l’alumnat.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33399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352FD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650B0D36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9AB5B6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1.3.d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39D6EB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Preveu criteris i procediments d’avaluació establint diferents nivells d’acompliment per a tot l’alumnat (DUA).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F6BA02" w14:textId="77777777" w:rsidR="00BB7CC1" w:rsidRPr="001E7C28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AA0E3" w14:textId="77777777" w:rsidR="00BB7CC1" w:rsidRPr="001E7C28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n-US"/>
              </w:rPr>
            </w:pPr>
          </w:p>
        </w:tc>
      </w:tr>
      <w:tr w:rsidR="00BB7CC1" w14:paraId="69CCAD98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06CE45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1.3.e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241E5C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 xml:space="preserve">Fa partícip l’alumnat del procés d’avaluació, preveient estratègies d’autoavaluació i </w:t>
            </w:r>
            <w:proofErr w:type="spellStart"/>
            <w:r>
              <w:rPr>
                <w:sz w:val="21"/>
              </w:rPr>
              <w:t>coavaluació</w:t>
            </w:r>
            <w:proofErr w:type="spellEnd"/>
            <w:r>
              <w:rPr>
                <w:sz w:val="21"/>
              </w:rPr>
              <w:t>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AD7B7A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6B8CE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7D64AA91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2C9CAC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1.3.f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836760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 xml:space="preserve">Pren decisions de millora a partir de l’anàlisi dels resultats d’avaluació i, en general, dels resultats dels aprenentatges.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218F22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7D1391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39249ECC" w14:textId="77777777">
        <w:trPr>
          <w:jc w:val="center"/>
        </w:trPr>
        <w:tc>
          <w:tcPr>
            <w:tcW w:w="1006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0777C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lastRenderedPageBreak/>
              <w:t>ÀREA II. ACCIÓ EDUCATIVA</w:t>
            </w:r>
          </w:p>
        </w:tc>
      </w:tr>
      <w:tr w:rsidR="00BB7CC1" w14:paraId="33B24F4A" w14:textId="77777777">
        <w:trPr>
          <w:jc w:val="center"/>
        </w:trPr>
        <w:tc>
          <w:tcPr>
            <w:tcW w:w="1006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CECCE47" w14:textId="77777777" w:rsidR="00BB7CC1" w:rsidRDefault="00693AC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2"/>
              </w:rPr>
              <w:t>2.1. Desenrotllament integral i benestar de l’alumnat</w:t>
            </w:r>
          </w:p>
        </w:tc>
      </w:tr>
      <w:tr w:rsidR="00BB7CC1" w14:paraId="095FF88F" w14:textId="77777777">
        <w:trPr>
          <w:jc w:val="center"/>
        </w:trPr>
        <w:tc>
          <w:tcPr>
            <w:tcW w:w="85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A988706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  <w:r>
              <w:rPr>
                <w:rFonts w:ascii="Calibri" w:hAnsi="Calibri"/>
                <w:color w:val="000000"/>
                <w:sz w:val="21"/>
              </w:rPr>
              <w:t xml:space="preserve"> 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880D36A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No apte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13B4200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BB7CC1" w14:paraId="1823DE93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CF317C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2.1.a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AA29FA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Utilitza mesures ordinàries i, si pertoca, extraordinàries per a atendre la diversitat de l’alumnat, organitzant la resposta educativa per a la inclusió de l’alumnat d’acord amb la normativa vigent.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19440C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544D3D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4FD26C81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1E76D5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2.1.b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C1A385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Afavorix l’autonomia i autoestima de l’alumnat, generant-li expectatives positives.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AAEC7F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FB36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237541D6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9974E4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2.1.c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263B79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Gestiona el clima de l’aula i les emocions individuals per a generar un ambient d’aprenentatge positiu per a cada estudiant en particular i per al grup en general.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C47955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F8CB2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0A0AC8D5" w14:textId="77777777">
        <w:trPr>
          <w:jc w:val="center"/>
        </w:trPr>
        <w:tc>
          <w:tcPr>
            <w:tcW w:w="100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646B78EB" w14:textId="77777777" w:rsidR="00BB7CC1" w:rsidRDefault="00693AC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2"/>
              </w:rPr>
              <w:t>2.2. Orientació i tutoria</w:t>
            </w:r>
          </w:p>
        </w:tc>
      </w:tr>
      <w:tr w:rsidR="00BB7CC1" w14:paraId="5C003380" w14:textId="77777777">
        <w:trPr>
          <w:jc w:val="center"/>
        </w:trPr>
        <w:tc>
          <w:tcPr>
            <w:tcW w:w="8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AC757B6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sz w:val="21"/>
              </w:rPr>
              <w:t>ACOMPLIMENTS PROFESSIONALS DOCENTS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C7CD422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4BE2EF39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BB7CC1" w14:paraId="39F014BE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C48E85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2.2.a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9C2FB4" w14:textId="77777777" w:rsidR="00BB7CC1" w:rsidRDefault="00693AC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Establix les vies i procediments necessaris per a facilitar a les famílies la informació relativa als seus fills i filles al llarg del curs (entrevistes individuals, reunions de grup, comunicacions escrites o telefòniques, etc.)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DEC662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D8E12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602573D5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588C72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2.2.b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10DFEF" w14:textId="77777777" w:rsidR="00BB7CC1" w:rsidRDefault="00693AC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Desenrotlla de manera correcta i eficient l’orientació educativa, acadèmica i professional del seu alumnat, especialment en cas de ser tutor o tutora.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6BAA9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7C49BB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72DA3080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D9979C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2.2.c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99FE5C" w14:textId="77777777" w:rsidR="00BB7CC1" w:rsidRDefault="00693AC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sz w:val="21"/>
              </w:rPr>
              <w:t>Informa correctament l’alumnat i les seues famílies sobre els aspectes fonamentals del procés d’ensenyament-aprenentatge: objectius, continguts o sabers bàsics, instruments, criteris d’avaluació i qualificació.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BFDC39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05783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4F695157" w14:textId="77777777">
        <w:trPr>
          <w:jc w:val="center"/>
        </w:trPr>
        <w:tc>
          <w:tcPr>
            <w:tcW w:w="100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7839EA1" w14:textId="77777777" w:rsidR="00BB7CC1" w:rsidRDefault="00693AC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2.3. Convivència i valors democràtics</w:t>
            </w:r>
          </w:p>
        </w:tc>
      </w:tr>
      <w:tr w:rsidR="00BB7CC1" w14:paraId="41F57D7A" w14:textId="77777777">
        <w:trPr>
          <w:jc w:val="center"/>
        </w:trPr>
        <w:tc>
          <w:tcPr>
            <w:tcW w:w="8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1662620E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ACOMPLIMENTS PROFESSIONALS DOCENTS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575878B1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</w:rPr>
              <w:t>No apte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81B14AF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BB7CC1" w14:paraId="22BBCE47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DB8D90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2.3.a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D2716D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Manté l’orde en la classe i establix de manera clara i treballada amb els alumnes unes normes de classe que fomenten el respecte, la tolerància i la participació.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565192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418E4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0E124D11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E53F8E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</w:rPr>
            </w:pPr>
            <w:r>
              <w:rPr>
                <w:sz w:val="21"/>
              </w:rPr>
              <w:t>2.3.b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C3E230" w14:textId="77777777" w:rsidR="00BB7CC1" w:rsidRDefault="00693ACD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sz w:val="21"/>
              </w:rPr>
              <w:t>Pren les iniciatives necessàries per a facilitar la integració de l’alumnat en el seu grup i en les activitats del centre.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C8F660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0776D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4462B542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234F0D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2.3.c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9CA9AC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Identifica els diferents tipus de conflicte, els passos per a la resolució i la mediació com una proposta d’intervenció, tant amb els alumnes i les alumnes com amb la resta de professionals.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260060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95B5C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2428A54B" w14:textId="77777777">
        <w:trPr>
          <w:jc w:val="center"/>
        </w:trPr>
        <w:tc>
          <w:tcPr>
            <w:tcW w:w="6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D080D7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2.3.d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EB861A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Contextualitza la realitat social actual per a implicar-hi l’alumnat, convertint-la en una experiència d’aprenentatge (interculturalitat, solidaritat, sostenibilitat, justícia social, etc.)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849705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A2732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01FE7ED5" w14:textId="77777777">
        <w:trPr>
          <w:jc w:val="center"/>
        </w:trPr>
        <w:tc>
          <w:tcPr>
            <w:tcW w:w="100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9E6F7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ÀREA IV. COMPETÈNCIES TRANSVERSALS</w:t>
            </w:r>
          </w:p>
        </w:tc>
      </w:tr>
      <w:tr w:rsidR="00BB7CC1" w14:paraId="0CA01A6A" w14:textId="77777777">
        <w:trPr>
          <w:jc w:val="center"/>
        </w:trPr>
        <w:tc>
          <w:tcPr>
            <w:tcW w:w="100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B54507A" w14:textId="77777777" w:rsidR="00BB7CC1" w:rsidRDefault="00693ACD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4.1. Competència digital</w:t>
            </w:r>
          </w:p>
        </w:tc>
      </w:tr>
      <w:tr w:rsidR="00BB7CC1" w14:paraId="54481F51" w14:textId="77777777">
        <w:trPr>
          <w:jc w:val="center"/>
        </w:trPr>
        <w:tc>
          <w:tcPr>
            <w:tcW w:w="8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5220090" w14:textId="77777777" w:rsidR="00BB7CC1" w:rsidRDefault="00693ACD">
            <w:pPr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ACOMPLIMENTS PROFESSIONALS DOCENTS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347C8D06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No apte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93AEAA2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BB7CC1" w14:paraId="28F24C14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E657CA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4.1.a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C2D9C4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Promou i incorpora habitualment la utilització de les TIC en el procés d’ensenyament-</w:t>
            </w:r>
            <w:r>
              <w:rPr>
                <w:sz w:val="21"/>
              </w:rPr>
              <w:lastRenderedPageBreak/>
              <w:t>aprenentatge.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2917EF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7FC9A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117F4D0E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5D7494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4.1.b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4E3F64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Coneix i domina diferents aplicacions i programes digitals que permeten treballar els diferents acompliments docents.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E288EB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B4B94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4DA27677" w14:textId="77777777">
        <w:trPr>
          <w:jc w:val="center"/>
        </w:trPr>
        <w:tc>
          <w:tcPr>
            <w:tcW w:w="100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BBBC5DC" w14:textId="77777777" w:rsidR="00BB7CC1" w:rsidRDefault="00693ACD">
            <w:pPr>
              <w:pStyle w:val="Contenidodelatabla"/>
              <w:widowControl w:val="0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</w:rPr>
              <w:t>4.2. Competència comunicativa</w:t>
            </w:r>
          </w:p>
        </w:tc>
      </w:tr>
      <w:tr w:rsidR="00BB7CC1" w14:paraId="28C0A705" w14:textId="77777777">
        <w:trPr>
          <w:jc w:val="center"/>
        </w:trPr>
        <w:tc>
          <w:tcPr>
            <w:tcW w:w="8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6CA7A27F" w14:textId="77777777" w:rsidR="00BB7CC1" w:rsidRDefault="00693ACD">
            <w:pPr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ACOMPLIMENTS PROFESSIONALS DOCENTS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611D839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No apte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5A0E6BD" w14:textId="77777777" w:rsidR="00BB7CC1" w:rsidRDefault="00693ACD">
            <w:pPr>
              <w:pStyle w:val="Contenidodelatabla"/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</w:rPr>
              <w:t>Apte</w:t>
            </w:r>
          </w:p>
        </w:tc>
      </w:tr>
      <w:tr w:rsidR="00BB7CC1" w14:paraId="5F552220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D433CD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4.2.a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D3EFCD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Té competència comunicativa, és a dir, exposa de manera clara i correcta. Comunica amb fluïdesa mantenint un ritme adequat. Mostra seguretat i coherència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A36B63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5B6C43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0A735329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0B1305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4.2.b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3E58826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Mostra aptitud pedagògica capaç de motivar l’alumnat i transmet solvència com a docent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A4F1C5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BF5D9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BB7CC1" w14:paraId="3CA031DD" w14:textId="77777777">
        <w:trPr>
          <w:jc w:val="center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4A10C2" w14:textId="77777777" w:rsidR="00BB7CC1" w:rsidRDefault="00693ACD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4.2.c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71932F" w14:textId="77777777" w:rsidR="00BB7CC1" w:rsidRDefault="00693ACD">
            <w:pPr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sz w:val="21"/>
              </w:rPr>
              <w:t>Presenta un llenguatge corporal adequat, afavorint la comunicació, atraient l’interés de l’alumnat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282818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71F80" w14:textId="77777777" w:rsidR="00BB7CC1" w:rsidRDefault="00BB7CC1">
            <w:pPr>
              <w:pStyle w:val="Contenidodelatabla"/>
              <w:widowControl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68A5C63F" w14:textId="77777777" w:rsidR="00BB7CC1" w:rsidRDefault="00BB7CC1">
      <w:pPr>
        <w:rPr>
          <w:rFonts w:cs="Calibri"/>
          <w:sz w:val="21"/>
          <w:szCs w:val="21"/>
          <w:lang w:val="es-ES"/>
        </w:rPr>
      </w:pPr>
    </w:p>
    <w:p w14:paraId="3AB34C5C" w14:textId="77777777" w:rsidR="00BB7CC1" w:rsidRDefault="00BB7CC1">
      <w:pPr>
        <w:rPr>
          <w:rFonts w:cs="Calibri"/>
          <w:sz w:val="21"/>
          <w:szCs w:val="21"/>
          <w:lang w:val="es-ES"/>
        </w:rPr>
      </w:pPr>
    </w:p>
    <w:p w14:paraId="0B85275D" w14:textId="77777777" w:rsidR="00BB7CC1" w:rsidRDefault="00BB7CC1">
      <w:pPr>
        <w:rPr>
          <w:rFonts w:cs="Calibri"/>
          <w:sz w:val="21"/>
          <w:szCs w:val="21"/>
          <w:lang w:val="es-ES"/>
        </w:rPr>
      </w:pPr>
    </w:p>
    <w:p w14:paraId="0E43C845" w14:textId="77777777" w:rsidR="00BB7CC1" w:rsidRDefault="00BB7CC1">
      <w:pPr>
        <w:rPr>
          <w:rFonts w:cs="Calibri"/>
          <w:sz w:val="21"/>
          <w:szCs w:val="21"/>
          <w:lang w:val="es-ES"/>
        </w:rPr>
      </w:pPr>
    </w:p>
    <w:tbl>
      <w:tblPr>
        <w:tblW w:w="10348" w:type="dxa"/>
        <w:tblInd w:w="-12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12"/>
        <w:gridCol w:w="1636"/>
      </w:tblGrid>
      <w:tr w:rsidR="00BB7CC1" w14:paraId="34048AB0" w14:textId="77777777">
        <w:tc>
          <w:tcPr>
            <w:tcW w:w="8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5966BC5B" w14:textId="77777777" w:rsidR="00BB7CC1" w:rsidRDefault="00693ACD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cs="Calibri"/>
              </w:rPr>
            </w:pPr>
            <w:r>
              <w:rPr>
                <w:color w:val="000000"/>
                <w:sz w:val="20"/>
              </w:rPr>
              <w:t>CONCLUSIÓ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5554DF3A" w14:textId="77777777" w:rsidR="00BB7CC1" w:rsidRDefault="00693ACD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cs="Calibri"/>
              </w:rPr>
            </w:pPr>
            <w:r>
              <w:rPr>
                <w:sz w:val="20"/>
              </w:rPr>
              <w:t>(Favorable / desfavorable)</w:t>
            </w:r>
          </w:p>
        </w:tc>
      </w:tr>
      <w:tr w:rsidR="00BB7CC1" w14:paraId="3E5B906F" w14:textId="77777777">
        <w:tc>
          <w:tcPr>
            <w:tcW w:w="87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D495AE1" w14:textId="77777777" w:rsidR="00BB7CC1" w:rsidRDefault="00693ACD">
            <w:pPr>
              <w:pStyle w:val="Textbody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cs="Calibri"/>
              </w:rPr>
            </w:pPr>
            <w:r>
              <w:rPr>
                <w:b/>
                <w:color w:val="000000"/>
                <w:sz w:val="20"/>
              </w:rPr>
              <w:t>L’informe serà favorable quan tots els acompliments docents hagen sigut avaluats aptes.</w:t>
            </w:r>
          </w:p>
        </w:tc>
        <w:tc>
          <w:tcPr>
            <w:tcW w:w="16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303484" w14:textId="77777777" w:rsidR="00BB7CC1" w:rsidRPr="001E7C28" w:rsidRDefault="00BB7CC1">
            <w:pPr>
              <w:pStyle w:val="Contenidodelatabla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after="14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B7CC1" w14:paraId="1B695740" w14:textId="77777777">
        <w:tc>
          <w:tcPr>
            <w:tcW w:w="1034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C0BC21" w14:textId="77777777" w:rsidR="00BB7CC1" w:rsidRDefault="00693ACD">
            <w:pPr>
              <w:pStyle w:val="Textoindependiente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0"/>
              </w:rPr>
              <w:t xml:space="preserve">Observacions: </w:t>
            </w:r>
          </w:p>
          <w:p w14:paraId="51FE149B" w14:textId="77777777" w:rsidR="00BB7CC1" w:rsidRDefault="00BB7CC1">
            <w:pPr>
              <w:pStyle w:val="Textoindependiente"/>
              <w:widowControl w:val="0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</w:pPr>
          </w:p>
        </w:tc>
      </w:tr>
    </w:tbl>
    <w:p w14:paraId="3344FD08" w14:textId="77777777" w:rsidR="00BB7CC1" w:rsidRDefault="00BB7CC1">
      <w:pPr>
        <w:rPr>
          <w:rFonts w:eastAsia="Arial" w:cs="Calibri"/>
          <w:b/>
          <w:bCs/>
          <w:color w:val="000000"/>
          <w:sz w:val="21"/>
          <w:szCs w:val="21"/>
          <w:lang w:val="es-ES"/>
        </w:rPr>
      </w:pPr>
    </w:p>
    <w:p w14:paraId="78ABDA05" w14:textId="77777777" w:rsidR="00BB7CC1" w:rsidRDefault="00693ACD">
      <w:pPr>
        <w:pStyle w:val="Textoindependiente22"/>
        <w:ind w:left="-30"/>
        <w:jc w:val="center"/>
        <w:rPr>
          <w:rFonts w:ascii="Calibri" w:hAnsi="Calibri" w:cs="Calibri"/>
        </w:rPr>
      </w:pPr>
      <w:r>
        <w:rPr>
          <w:rFonts w:ascii="Calibri" w:hAnsi="Calibri"/>
          <w:b w:val="0"/>
          <w:color w:val="000000"/>
          <w:sz w:val="21"/>
        </w:rPr>
        <w:t>Firmat: (nom i cognoms)</w:t>
      </w:r>
    </w:p>
    <w:p w14:paraId="73D7E1E8" w14:textId="77777777" w:rsidR="00BB7CC1" w:rsidRDefault="00BB7CC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color w:val="000000"/>
          <w:sz w:val="21"/>
          <w:szCs w:val="21"/>
          <w:lang w:val="es-ES"/>
        </w:rPr>
      </w:pPr>
    </w:p>
    <w:p w14:paraId="3C02774B" w14:textId="77777777" w:rsidR="00BB7CC1" w:rsidRDefault="00BB7CC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b/>
          <w:bCs/>
          <w:color w:val="000000"/>
          <w:sz w:val="21"/>
          <w:szCs w:val="21"/>
          <w:lang w:val="es-ES"/>
        </w:rPr>
      </w:pPr>
    </w:p>
    <w:p w14:paraId="45A75562" w14:textId="77777777" w:rsidR="00BB7CC1" w:rsidRDefault="00BB7CC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3F8361F9" w14:textId="77777777" w:rsidR="00BB7CC1" w:rsidRDefault="00BB7CC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2E527156" w14:textId="77777777" w:rsidR="00BB7CC1" w:rsidRDefault="00BB7CC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2BD2CEF4" w14:textId="77777777" w:rsidR="00BB7CC1" w:rsidRDefault="00BB7CC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515A30E5" w14:textId="77777777" w:rsidR="00BB7CC1" w:rsidRDefault="00BB7CC1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0C129B42" w14:textId="77777777" w:rsidR="00BB7CC1" w:rsidRDefault="00693AC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1276" w:right="-711"/>
        <w:jc w:val="both"/>
      </w:pPr>
      <w:r>
        <w:t>Adaptat de Valle, J. M., Manso, J. i Sánchez-</w:t>
      </w:r>
      <w:proofErr w:type="spellStart"/>
      <w:r>
        <w:t>Tarazaga</w:t>
      </w:r>
      <w:proofErr w:type="spellEnd"/>
      <w:r>
        <w:t xml:space="preserve">, L. (2023). </w:t>
      </w:r>
      <w:r>
        <w:rPr>
          <w:i/>
          <w:iCs/>
        </w:rPr>
        <w:t xml:space="preserve">Las </w:t>
      </w:r>
      <w:proofErr w:type="spellStart"/>
      <w:r>
        <w:rPr>
          <w:i/>
          <w:iCs/>
        </w:rPr>
        <w:t>competencias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profesionales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docentes</w:t>
      </w:r>
      <w:proofErr w:type="spellEnd"/>
      <w:r>
        <w:t xml:space="preserve">. </w:t>
      </w:r>
      <w:proofErr w:type="spellStart"/>
      <w:r>
        <w:t>Narcea</w:t>
      </w:r>
      <w:proofErr w:type="spellEnd"/>
      <w:r>
        <w:t>.</w:t>
      </w:r>
    </w:p>
    <w:sectPr w:rsidR="00BB7C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52" w:right="1418" w:bottom="1135" w:left="2268" w:header="719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22421" w14:textId="77777777" w:rsidR="00693ACD" w:rsidRDefault="00693ACD">
      <w:r>
        <w:separator/>
      </w:r>
    </w:p>
  </w:endnote>
  <w:endnote w:type="continuationSeparator" w:id="0">
    <w:p w14:paraId="427D63D5" w14:textId="77777777" w:rsidR="00693ACD" w:rsidRDefault="0069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04E3" w14:textId="77777777" w:rsidR="001E7C28" w:rsidRDefault="001E7C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F5E9" w14:textId="77777777" w:rsidR="001E7C28" w:rsidRDefault="001E7C2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456E" w14:textId="77777777" w:rsidR="001E7C28" w:rsidRDefault="001E7C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AF331" w14:textId="77777777" w:rsidR="00693ACD" w:rsidRDefault="00693ACD">
      <w:r>
        <w:separator/>
      </w:r>
    </w:p>
  </w:footnote>
  <w:footnote w:type="continuationSeparator" w:id="0">
    <w:p w14:paraId="4D25735D" w14:textId="77777777" w:rsidR="00693ACD" w:rsidRDefault="00693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8CE7" w14:textId="77777777" w:rsidR="001E7C28" w:rsidRDefault="001E7C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D02" w14:textId="45C424B8" w:rsidR="00BB7CC1" w:rsidRDefault="00BB7CC1">
    <w:pPr>
      <w:pStyle w:val="Encabezado"/>
      <w:ind w:left="-993" w:right="851"/>
      <w:jc w:val="right"/>
    </w:pPr>
  </w:p>
  <w:p w14:paraId="33C78423" w14:textId="77777777" w:rsidR="00BB7CC1" w:rsidRDefault="00BB7CC1">
    <w:pPr>
      <w:pStyle w:val="Encabezado"/>
    </w:pPr>
  </w:p>
  <w:p w14:paraId="08250776" w14:textId="77777777" w:rsidR="00BB7CC1" w:rsidRDefault="00BB7CC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E1DCC" w14:textId="339A2B13" w:rsidR="00BB7CC1" w:rsidRDefault="001E7C28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</w:rPr>
    </w:pPr>
    <w:sdt>
      <w:sdtPr>
        <w:rPr>
          <w:rFonts w:ascii="Roboto" w:hAnsi="Roboto" w:cs="Times New Roman"/>
          <w:color w:val="C00000"/>
          <w:sz w:val="16"/>
          <w:szCs w:val="16"/>
        </w:rPr>
        <w:id w:val="-622150739"/>
        <w:docPartObj>
          <w:docPartGallery w:val="Watermarks"/>
          <w:docPartUnique/>
        </w:docPartObj>
      </w:sdtPr>
      <w:sdtContent>
        <w:r w:rsidRPr="001E7C28">
          <w:rPr>
            <w:rFonts w:ascii="Roboto" w:hAnsi="Roboto" w:cs="Times New Roman"/>
            <w:color w:val="C00000"/>
            <w:sz w:val="16"/>
            <w:szCs w:val="16"/>
          </w:rPr>
          <w:pict w14:anchorId="745ED9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RRADOR"/>
              <w10:wrap anchorx="margin" anchory="margin"/>
            </v:shape>
          </w:pict>
        </w:r>
      </w:sdtContent>
    </w:sdt>
    <w:r>
      <w:rPr>
        <w:rFonts w:ascii="Roboto" w:hAnsi="Roboto" w:cs="Times New Roman"/>
        <w:noProof/>
        <w:color w:val="C00000"/>
        <w:sz w:val="16"/>
        <w:szCs w:val="16"/>
        <w:lang w:eastAsia="es-ES_tradnl"/>
      </w:rPr>
      <w:drawing>
        <wp:anchor distT="0" distB="0" distL="114300" distR="114300" simplePos="0" relativeHeight="251659264" behindDoc="0" locked="0" layoutInCell="1" allowOverlap="1" wp14:anchorId="6CC77F10" wp14:editId="53542326">
          <wp:simplePos x="0" y="0"/>
          <wp:positionH relativeFrom="column">
            <wp:posOffset>-1181100</wp:posOffset>
          </wp:positionH>
          <wp:positionV relativeFrom="paragraph">
            <wp:posOffset>-82550</wp:posOffset>
          </wp:positionV>
          <wp:extent cx="2322051" cy="1252204"/>
          <wp:effectExtent l="0" t="0" r="0" b="0"/>
          <wp:wrapNone/>
          <wp:docPr id="2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" b="497"/>
                  <a:stretch>
                    <a:fillRect/>
                  </a:stretch>
                </pic:blipFill>
                <pic:spPr bwMode="auto">
                  <a:xfrm>
                    <a:off x="0" y="0"/>
                    <a:ext cx="2322051" cy="12522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7A1C97" w14:textId="77777777" w:rsidR="00BB7CC1" w:rsidRDefault="00693ACD">
    <w:pPr>
      <w:pStyle w:val="Standard"/>
      <w:ind w:left="1985"/>
      <w:rPr>
        <w:rFonts w:ascii="Roboto" w:hAnsi="Roboto" w:cs="Times New Roman"/>
        <w:bCs/>
        <w:sz w:val="16"/>
        <w:szCs w:val="16"/>
      </w:rPr>
    </w:pPr>
    <w:r>
      <w:rPr>
        <w:rFonts w:ascii="Roboto" w:hAnsi="Roboto"/>
        <w:sz w:val="16"/>
      </w:rPr>
      <w:t>Direcció General de Personal Docent</w:t>
    </w:r>
  </w:p>
  <w:p w14:paraId="14A77B8A" w14:textId="1E838D4F" w:rsidR="00BB7CC1" w:rsidRDefault="00693ACD">
    <w:pPr>
      <w:pStyle w:val="Standard"/>
      <w:ind w:left="1985"/>
      <w:rPr>
        <w:rFonts w:ascii="Roboto" w:hAnsi="Roboto" w:cs="Times New Roman"/>
        <w:b/>
        <w:bCs/>
        <w:sz w:val="16"/>
        <w:szCs w:val="16"/>
      </w:rPr>
    </w:pPr>
    <w:r>
      <w:rPr>
        <w:rFonts w:ascii="Roboto" w:hAnsi="Roboto"/>
        <w:b/>
        <w:sz w:val="16"/>
      </w:rPr>
      <w:t>Servici de Selecció i Gestió Administrativa de Personal Docent</w:t>
    </w:r>
  </w:p>
  <w:p w14:paraId="783B16D3" w14:textId="21E0A3E1" w:rsidR="00BB7CC1" w:rsidRDefault="00BB7CC1">
    <w:pPr>
      <w:pStyle w:val="Standard"/>
      <w:ind w:left="1985"/>
      <w:rPr>
        <w:rFonts w:ascii="Roboto" w:hAnsi="Roboto" w:cs="Times New Roman"/>
        <w:sz w:val="16"/>
        <w:szCs w:val="16"/>
        <w:lang w:eastAsia="es-ES_tradnl"/>
      </w:rPr>
    </w:pPr>
  </w:p>
  <w:p w14:paraId="0DE7979D" w14:textId="4196D3D8" w:rsidR="00BB7CC1" w:rsidRDefault="00693ACD">
    <w:pPr>
      <w:pStyle w:val="Standard"/>
      <w:ind w:left="1985"/>
      <w:rPr>
        <w:rFonts w:ascii="Roboto" w:hAnsi="Roboto" w:cs="Times New Roman"/>
        <w:sz w:val="16"/>
        <w:szCs w:val="16"/>
      </w:rPr>
    </w:pPr>
    <w:r>
      <w:rPr>
        <w:rFonts w:ascii="Roboto" w:hAnsi="Roboto"/>
        <w:sz w:val="16"/>
      </w:rPr>
      <w:t>Av. Campanar, 32 · 46015 València</w:t>
    </w:r>
  </w:p>
  <w:p w14:paraId="08B0185D" w14:textId="77777777" w:rsidR="00BB7CC1" w:rsidRDefault="00693ACD">
    <w:pPr>
      <w:pStyle w:val="Standard"/>
      <w:spacing w:line="288" w:lineRule="auto"/>
      <w:ind w:left="1985"/>
      <w:rPr>
        <w:rFonts w:ascii="Roboto" w:hAnsi="Roboto" w:cs="Times New Roman"/>
        <w:sz w:val="16"/>
        <w:szCs w:val="16"/>
      </w:rPr>
    </w:pPr>
    <w:r>
      <w:rPr>
        <w:rFonts w:ascii="Roboto" w:hAnsi="Roboto"/>
        <w:sz w:val="16"/>
      </w:rPr>
      <w:t>seleccion_edu@gva.es · www.gva.es</w:t>
    </w:r>
  </w:p>
  <w:p w14:paraId="66A34F58" w14:textId="4F9D3F88" w:rsidR="00BB7CC1" w:rsidRDefault="00BB7CC1">
    <w:pPr>
      <w:pStyle w:val="Standar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CC1"/>
    <w:rsid w:val="001E7C28"/>
    <w:rsid w:val="00693ACD"/>
    <w:rsid w:val="00BB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03AEF3"/>
  <w15:docId w15:val="{F1246564-416F-4361-8379-3D9A2D84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4"/>
        <w:szCs w:val="24"/>
        <w:lang w:val="ca-ES-valenci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textAlignment w:val="baseline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qFormat/>
  </w:style>
  <w:style w:type="character" w:customStyle="1" w:styleId="PiedepginaCar">
    <w:name w:val="Pie de página Car"/>
    <w:basedOn w:val="Fuentedeprrafopredeter"/>
    <w:qFormat/>
  </w:style>
  <w:style w:type="character" w:customStyle="1" w:styleId="apple-converted-space">
    <w:name w:val="apple-converted-space"/>
    <w:basedOn w:val="Fuentedeprrafopredeter"/>
    <w:qFormat/>
  </w:style>
  <w:style w:type="character" w:customStyle="1" w:styleId="EnlacedeInternet">
    <w:name w:val="Enlace de Internet"/>
    <w:basedOn w:val="Fuentedeprrafopredeter"/>
    <w:uiPriority w:val="99"/>
    <w:unhideWhenUsed/>
    <w:rsid w:val="007768E7"/>
    <w:rPr>
      <w:color w:val="0563C1" w:themeColor="hyperlink"/>
      <w:u w:val="single"/>
    </w:rPr>
  </w:style>
  <w:style w:type="character" w:customStyle="1" w:styleId="Fuentedeprrafopredeter1">
    <w:name w:val="Fuente de párrafo predeter.1"/>
    <w:qFormat/>
    <w:rsid w:val="00C73D6D"/>
  </w:style>
  <w:style w:type="character" w:customStyle="1" w:styleId="TextoindependienteCar">
    <w:name w:val="Texto independiente Car"/>
    <w:basedOn w:val="Fuentedeprrafopredeter"/>
    <w:link w:val="Textoindependiente"/>
    <w:qFormat/>
    <w:rsid w:val="00C73D6D"/>
    <w:rPr>
      <w:rFonts w:ascii="Liberation Serif" w:eastAsia="SimSun" w:hAnsi="Liberation Serif" w:cs="Mangal"/>
      <w:kern w:val="2"/>
      <w:lang w:val="ca-ES-valencia" w:eastAsia="zh-CN" w:bidi="hi-IN"/>
    </w:rPr>
  </w:style>
  <w:style w:type="paragraph" w:customStyle="1" w:styleId="Ttulo1">
    <w:name w:val="Títu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C73D6D"/>
    <w:pPr>
      <w:widowControl/>
      <w:spacing w:after="140" w:line="288" w:lineRule="auto"/>
      <w:textAlignment w:val="auto"/>
    </w:pPr>
    <w:rPr>
      <w:rFonts w:ascii="Liberation Serif" w:eastAsia="SimSun" w:hAnsi="Liberation Serif" w:cs="Mangal"/>
      <w:kern w:val="2"/>
      <w:lang w:eastAsia="zh-CN" w:bidi="hi-IN"/>
    </w:r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Standard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p1">
    <w:name w:val="p1"/>
    <w:basedOn w:val="Standard"/>
    <w:qFormat/>
    <w:rPr>
      <w:rFonts w:ascii="Times" w:eastAsia="Times" w:hAnsi="Times" w:cs="Times"/>
      <w:sz w:val="18"/>
      <w:szCs w:val="18"/>
      <w:lang w:eastAsia="es-ES_tradnl"/>
    </w:rPr>
  </w:style>
  <w:style w:type="paragraph" w:customStyle="1" w:styleId="p2">
    <w:name w:val="p2"/>
    <w:basedOn w:val="Standard"/>
    <w:qFormat/>
    <w:rPr>
      <w:rFonts w:ascii="Times" w:eastAsia="Times" w:hAnsi="Times" w:cs="Times"/>
      <w:sz w:val="17"/>
      <w:szCs w:val="17"/>
      <w:lang w:eastAsia="es-ES_tradnl"/>
    </w:rPr>
  </w:style>
  <w:style w:type="paragraph" w:customStyle="1" w:styleId="p3">
    <w:name w:val="p3"/>
    <w:basedOn w:val="Standard"/>
    <w:qFormat/>
    <w:pPr>
      <w:ind w:left="213"/>
    </w:pPr>
    <w:rPr>
      <w:rFonts w:ascii="Roboto" w:eastAsia="Roboto" w:hAnsi="Roboto" w:cs="Roboto"/>
      <w:color w:val="E42231"/>
      <w:sz w:val="12"/>
      <w:szCs w:val="12"/>
      <w:lang w:eastAsia="es-ES_tradnl"/>
    </w:rPr>
  </w:style>
  <w:style w:type="paragraph" w:styleId="Prrafodelista">
    <w:name w:val="List Paragraph"/>
    <w:basedOn w:val="Normal"/>
    <w:uiPriority w:val="34"/>
    <w:qFormat/>
    <w:rsid w:val="007768E7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Contenidodelatabla">
    <w:name w:val="Contenido de la tabla"/>
    <w:basedOn w:val="Normal"/>
    <w:qFormat/>
    <w:rsid w:val="00C73D6D"/>
    <w:pPr>
      <w:widowControl/>
      <w:suppressLineNumbers/>
      <w:textAlignment w:val="auto"/>
    </w:pPr>
    <w:rPr>
      <w:rFonts w:ascii="Liberation Serif" w:eastAsia="SimSun" w:hAnsi="Liberation Serif" w:cs="Mangal"/>
      <w:kern w:val="2"/>
      <w:lang w:eastAsia="zh-CN" w:bidi="hi-IN"/>
    </w:rPr>
  </w:style>
  <w:style w:type="paragraph" w:customStyle="1" w:styleId="Contingutdelataula">
    <w:name w:val="Contingut de la taula"/>
    <w:basedOn w:val="Normal"/>
    <w:qFormat/>
    <w:rsid w:val="00C73D6D"/>
    <w:pPr>
      <w:widowControl/>
      <w:suppressLineNumbers/>
      <w:textAlignment w:val="auto"/>
    </w:pPr>
    <w:rPr>
      <w:rFonts w:ascii="Liberation Serif" w:eastAsia="SimSun" w:hAnsi="Liberation Serif" w:cs="Mangal"/>
      <w:kern w:val="2"/>
      <w:lang w:eastAsia="zh-CN" w:bidi="hi-IN"/>
    </w:rPr>
  </w:style>
  <w:style w:type="paragraph" w:customStyle="1" w:styleId="Textoindependiente22">
    <w:name w:val="Texto independiente 22"/>
    <w:basedOn w:val="Normal"/>
    <w:qFormat/>
    <w:rsid w:val="00C73D6D"/>
    <w:pPr>
      <w:widowControl/>
      <w:jc w:val="both"/>
      <w:textAlignment w:val="auto"/>
    </w:pPr>
    <w:rPr>
      <w:rFonts w:ascii="Liberation Serif" w:eastAsia="SimSun" w:hAnsi="Liberation Serif" w:cs="Mangal"/>
      <w:b/>
      <w:kern w:val="2"/>
      <w:sz w:val="18"/>
      <w:lang w:eastAsia="zh-CN" w:bidi="hi-IN"/>
    </w:rPr>
  </w:style>
  <w:style w:type="numbering" w:customStyle="1" w:styleId="Sinlista1">
    <w:name w:val="Sin lista1"/>
    <w:qFormat/>
  </w:style>
  <w:style w:type="table" w:styleId="Tablaconcuadrcula">
    <w:name w:val="Table Grid"/>
    <w:basedOn w:val="Tablanormal"/>
    <w:uiPriority w:val="39"/>
    <w:rsid w:val="007768E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1544</Words>
  <Characters>8494</Characters>
  <Application>Microsoft Office Word</Application>
  <DocSecurity>0</DocSecurity>
  <Lines>70</Lines>
  <Paragraphs>20</Paragraphs>
  <ScaleCrop>false</ScaleCrop>
  <Company>Generalitat Valenciana</Company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GINER CONEJOS, CARMEN</dc:creator>
  <dc:description/>
  <cp:lastModifiedBy>SÁNCHEZ SOTOS, NÚRIA</cp:lastModifiedBy>
  <cp:revision>10</cp:revision>
  <cp:lastPrinted>2024-07-23T08:22:00Z</cp:lastPrinted>
  <dcterms:created xsi:type="dcterms:W3CDTF">2024-09-04T08:38:00Z</dcterms:created>
  <dcterms:modified xsi:type="dcterms:W3CDTF">2024-09-06T10:52:00Z</dcterms:modified>
  <dc:language>ca-ES-valencia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